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jpg" ContentType="image/pn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85" w:rsidRPr="00AA59A7" w:rsidRDefault="00AA59A7" w:rsidP="00AA59A7">
      <w:pPr>
        <w:pStyle w:val="Heading1"/>
        <w:jc w:val="center"/>
        <w:rPr>
          <w:rFonts w:ascii="Arial Rounded MT Bold" w:hAnsi="Arial Rounded MT Bold"/>
          <w:sz w:val="48"/>
        </w:rPr>
      </w:pPr>
      <w:r>
        <w:rPr>
          <w:rFonts w:ascii="Arial Rounded MT Bold" w:hAnsi="Arial Rounded MT Bold"/>
          <w:sz w:val="48"/>
        </w:rPr>
        <w:t>ELA</w:t>
      </w:r>
      <w:r w:rsidR="00441385">
        <w:rPr>
          <w:rFonts w:ascii="Arial Rounded MT Bold" w:hAnsi="Arial Rounded MT Bold"/>
          <w:sz w:val="48"/>
        </w:rPr>
        <w:t xml:space="preserve"> 9</w:t>
      </w:r>
      <w:r>
        <w:rPr>
          <w:rFonts w:ascii="Arial Rounded MT Bold" w:hAnsi="Arial Rounded MT Bold"/>
          <w:sz w:val="48"/>
        </w:rPr>
        <w:t xml:space="preserve"> </w:t>
      </w:r>
      <w:bookmarkStart w:id="0" w:name="_GoBack"/>
      <w:bookmarkEnd w:id="0"/>
      <w:r w:rsidR="00441385" w:rsidRPr="0038212D">
        <w:rPr>
          <w:rFonts w:ascii="Arial Rounded MT Bold" w:hAnsi="Arial Rounded MT Bold"/>
          <w:sz w:val="48"/>
        </w:rPr>
        <w:t>– Syllabus</w:t>
      </w:r>
      <w:r w:rsidR="00441385">
        <w:rPr>
          <w:rFonts w:ascii="Arial Rounded MT Bold" w:hAnsi="Arial Rounded MT Bold"/>
          <w:sz w:val="48"/>
        </w:rPr>
        <w:t xml:space="preserve"> </w:t>
      </w:r>
      <w:r w:rsidR="00441385">
        <w:rPr>
          <w:rFonts w:ascii="Arial Rounded MT Bold" w:hAnsi="Arial Rounded MT Bold"/>
          <w:noProof/>
          <w:sz w:val="48"/>
        </w:rPr>
        <w:drawing>
          <wp:inline distT="0" distB="0" distL="0" distR="0" wp14:anchorId="771757BF" wp14:editId="558E4215">
            <wp:extent cx="96202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2.jpg"/>
                    <pic:cNvPicPr/>
                  </pic:nvPicPr>
                  <pic:blipFill>
                    <a:blip r:embed="rId6">
                      <a:extLst>
                        <a:ext uri="{28A0092B-C50C-407E-A947-70E740481C1C}">
                          <a14:useLocalDpi xmlns:a14="http://schemas.microsoft.com/office/drawing/2010/main" val="0"/>
                        </a:ext>
                      </a:extLst>
                    </a:blip>
                    <a:stretch>
                      <a:fillRect/>
                    </a:stretch>
                  </pic:blipFill>
                  <pic:spPr>
                    <a:xfrm>
                      <a:off x="0" y="0"/>
                      <a:ext cx="962025" cy="1057275"/>
                    </a:xfrm>
                    <a:prstGeom prst="rect">
                      <a:avLst/>
                    </a:prstGeom>
                  </pic:spPr>
                </pic:pic>
              </a:graphicData>
            </a:graphic>
          </wp:inline>
        </w:drawing>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0"/>
        <w:gridCol w:w="3182"/>
        <w:gridCol w:w="857"/>
        <w:gridCol w:w="4699"/>
      </w:tblGrid>
      <w:tr w:rsidR="00441385" w:rsidTr="00166FE2">
        <w:tc>
          <w:tcPr>
            <w:tcW w:w="1270" w:type="dxa"/>
          </w:tcPr>
          <w:p w:rsidR="00441385" w:rsidRPr="0038212D" w:rsidRDefault="00441385" w:rsidP="00166FE2">
            <w:pPr>
              <w:rPr>
                <w:b/>
              </w:rPr>
            </w:pPr>
            <w:r w:rsidRPr="0038212D">
              <w:rPr>
                <w:b/>
              </w:rPr>
              <w:t>Teacher</w:t>
            </w:r>
          </w:p>
        </w:tc>
        <w:tc>
          <w:tcPr>
            <w:tcW w:w="3182" w:type="dxa"/>
          </w:tcPr>
          <w:p w:rsidR="00441385" w:rsidRPr="0038212D" w:rsidRDefault="00441385" w:rsidP="00166FE2">
            <w:r>
              <w:t xml:space="preserve">Mr. </w:t>
            </w:r>
            <w:proofErr w:type="spellStart"/>
            <w:r>
              <w:t>Standring</w:t>
            </w:r>
            <w:proofErr w:type="spellEnd"/>
          </w:p>
        </w:tc>
        <w:tc>
          <w:tcPr>
            <w:tcW w:w="857" w:type="dxa"/>
          </w:tcPr>
          <w:p w:rsidR="00441385" w:rsidRPr="0038212D" w:rsidRDefault="00441385" w:rsidP="00166FE2">
            <w:pPr>
              <w:rPr>
                <w:b/>
                <w:bCs/>
              </w:rPr>
            </w:pPr>
            <w:r w:rsidRPr="0038212D">
              <w:rPr>
                <w:b/>
                <w:bCs/>
              </w:rPr>
              <w:t>E-mail</w:t>
            </w:r>
          </w:p>
        </w:tc>
        <w:tc>
          <w:tcPr>
            <w:tcW w:w="4699" w:type="dxa"/>
          </w:tcPr>
          <w:p w:rsidR="00441385" w:rsidRPr="0038212D" w:rsidRDefault="00441385" w:rsidP="00166FE2">
            <w:r>
              <w:t>jonathan.standring@nbed.nb.ca</w:t>
            </w:r>
          </w:p>
        </w:tc>
      </w:tr>
      <w:tr w:rsidR="00441385" w:rsidTr="00166FE2">
        <w:tc>
          <w:tcPr>
            <w:tcW w:w="1270" w:type="dxa"/>
          </w:tcPr>
          <w:p w:rsidR="00441385" w:rsidRPr="0038212D" w:rsidRDefault="00441385" w:rsidP="00166FE2">
            <w:pPr>
              <w:rPr>
                <w:b/>
              </w:rPr>
            </w:pPr>
            <w:r w:rsidRPr="0038212D">
              <w:rPr>
                <w:b/>
              </w:rPr>
              <w:t>Website/ QR Code</w:t>
            </w:r>
          </w:p>
        </w:tc>
        <w:tc>
          <w:tcPr>
            <w:tcW w:w="3182" w:type="dxa"/>
          </w:tcPr>
          <w:p w:rsidR="00441385" w:rsidRDefault="00441385" w:rsidP="00166FE2">
            <w:hyperlink r:id="rId7" w:history="1">
              <w:r w:rsidRPr="00A80B6C">
                <w:rPr>
                  <w:rStyle w:val="Hyperlink"/>
                </w:rPr>
                <w:t>http://jstandring.weebly.com</w:t>
              </w:r>
            </w:hyperlink>
          </w:p>
          <w:p w:rsidR="00441385" w:rsidRPr="0038212D" w:rsidRDefault="00441385" w:rsidP="00166FE2">
            <w:r>
              <w:rPr>
                <w:noProof/>
              </w:rPr>
              <w:drawing>
                <wp:inline distT="0" distB="0" distL="0" distR="0">
                  <wp:extent cx="855023" cy="855023"/>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ic_qr_code_withou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814" cy="857814"/>
                          </a:xfrm>
                          <a:prstGeom prst="rect">
                            <a:avLst/>
                          </a:prstGeom>
                        </pic:spPr>
                      </pic:pic>
                    </a:graphicData>
                  </a:graphic>
                </wp:inline>
              </w:drawing>
            </w:r>
          </w:p>
        </w:tc>
        <w:tc>
          <w:tcPr>
            <w:tcW w:w="857" w:type="dxa"/>
          </w:tcPr>
          <w:p w:rsidR="00441385" w:rsidRPr="0038212D" w:rsidRDefault="00441385" w:rsidP="00166FE2">
            <w:pPr>
              <w:rPr>
                <w:b/>
                <w:bCs/>
              </w:rPr>
            </w:pPr>
            <w:r w:rsidRPr="0038212D">
              <w:rPr>
                <w:b/>
                <w:bCs/>
              </w:rPr>
              <w:t>Extra Help</w:t>
            </w:r>
          </w:p>
        </w:tc>
        <w:tc>
          <w:tcPr>
            <w:tcW w:w="4699" w:type="dxa"/>
          </w:tcPr>
          <w:p w:rsidR="00441385" w:rsidRDefault="00441385" w:rsidP="00166FE2">
            <w:r>
              <w:t>Monday, after school</w:t>
            </w:r>
          </w:p>
          <w:p w:rsidR="00441385" w:rsidRPr="0038212D" w:rsidRDefault="00441385" w:rsidP="00166FE2">
            <w:r>
              <w:t>Tuesday, at noon</w:t>
            </w:r>
          </w:p>
        </w:tc>
      </w:tr>
      <w:tr w:rsidR="00441385" w:rsidTr="00166FE2">
        <w:tc>
          <w:tcPr>
            <w:tcW w:w="1270" w:type="dxa"/>
          </w:tcPr>
          <w:p w:rsidR="00441385" w:rsidRPr="0038212D" w:rsidRDefault="00441385" w:rsidP="00166FE2">
            <w:pPr>
              <w:rPr>
                <w:b/>
              </w:rPr>
            </w:pPr>
            <w:r w:rsidRPr="0038212D">
              <w:rPr>
                <w:b/>
              </w:rPr>
              <w:t>Room Number</w:t>
            </w:r>
          </w:p>
        </w:tc>
        <w:tc>
          <w:tcPr>
            <w:tcW w:w="3182" w:type="dxa"/>
          </w:tcPr>
          <w:p w:rsidR="00441385" w:rsidRPr="0038212D" w:rsidRDefault="00441385" w:rsidP="00166FE2">
            <w:r>
              <w:t>120</w:t>
            </w:r>
          </w:p>
        </w:tc>
        <w:tc>
          <w:tcPr>
            <w:tcW w:w="857" w:type="dxa"/>
          </w:tcPr>
          <w:p w:rsidR="00441385" w:rsidRPr="0038212D" w:rsidRDefault="00441385" w:rsidP="00166FE2"/>
        </w:tc>
        <w:tc>
          <w:tcPr>
            <w:tcW w:w="4699" w:type="dxa"/>
          </w:tcPr>
          <w:p w:rsidR="00441385" w:rsidRPr="0038212D" w:rsidRDefault="00441385" w:rsidP="00166FE2"/>
        </w:tc>
      </w:tr>
    </w:tbl>
    <w:p w:rsidR="00441385" w:rsidRDefault="00441385" w:rsidP="00441385">
      <w:pPr>
        <w:pStyle w:val="Heading3"/>
      </w:pPr>
      <w:r>
        <w:rPr>
          <w:noProof/>
        </w:rPr>
        <mc:AlternateContent>
          <mc:Choice Requires="wps">
            <w:drawing>
              <wp:anchor distT="45720" distB="45720" distL="114300" distR="114300" simplePos="0" relativeHeight="251659264" behindDoc="0" locked="0" layoutInCell="1" allowOverlap="1" wp14:anchorId="4D89F7AB" wp14:editId="40EF455F">
                <wp:simplePos x="0" y="0"/>
                <wp:positionH relativeFrom="column">
                  <wp:posOffset>3708400</wp:posOffset>
                </wp:positionH>
                <wp:positionV relativeFrom="paragraph">
                  <wp:posOffset>259080</wp:posOffset>
                </wp:positionV>
                <wp:extent cx="2360930" cy="3403600"/>
                <wp:effectExtent l="0" t="0" r="1524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03600"/>
                        </a:xfrm>
                        <a:prstGeom prst="rect">
                          <a:avLst/>
                        </a:prstGeom>
                        <a:solidFill>
                          <a:srgbClr val="FFFFFF"/>
                        </a:solidFill>
                        <a:ln w="9525">
                          <a:solidFill>
                            <a:srgbClr val="000000"/>
                          </a:solidFill>
                          <a:miter lim="800000"/>
                          <a:headEnd/>
                          <a:tailEnd/>
                        </a:ln>
                      </wps:spPr>
                      <wps:txbx>
                        <w:txbxContent>
                          <w:p w:rsidR="00441385" w:rsidRPr="0038212D" w:rsidRDefault="00441385" w:rsidP="00441385">
                            <w:pPr>
                              <w:pStyle w:val="Heading1"/>
                              <w:rPr>
                                <w:rFonts w:asciiTheme="majorHAnsi" w:hAnsiTheme="majorHAnsi"/>
                              </w:rPr>
                            </w:pPr>
                            <w:r w:rsidRPr="0038212D">
                              <w:rPr>
                                <w:rFonts w:asciiTheme="majorHAnsi" w:hAnsiTheme="majorHAnsi"/>
                              </w:rPr>
                              <w:t>Late Assignments</w:t>
                            </w:r>
                          </w:p>
                          <w:p w:rsidR="00441385" w:rsidRPr="0038212D" w:rsidRDefault="00441385" w:rsidP="00441385">
                            <w:pPr>
                              <w:rPr>
                                <w:rFonts w:asciiTheme="majorHAnsi" w:hAnsiTheme="majorHAnsi"/>
                                <w:color w:val="44546A" w:themeColor="text2"/>
                              </w:rPr>
                            </w:pPr>
                          </w:p>
                          <w:p w:rsidR="00441385" w:rsidRPr="0038212D" w:rsidRDefault="00441385" w:rsidP="00441385">
                            <w:pPr>
                              <w:rPr>
                                <w:rFonts w:asciiTheme="majorHAnsi" w:hAnsiTheme="majorHAnsi"/>
                              </w:rPr>
                            </w:pPr>
                            <w:r w:rsidRPr="0038212D">
                              <w:rPr>
                                <w:rFonts w:asciiTheme="majorHAnsi" w:hAnsiTheme="majorHAnsi"/>
                              </w:rPr>
                              <w:t xml:space="preserve">Students cannot turn in assignments which are formative in nature once a summative assessment has been collected. Special circumstances must be discussed in person between the teacher and student. </w:t>
                            </w:r>
                          </w:p>
                          <w:p w:rsidR="00441385" w:rsidRPr="0038212D" w:rsidRDefault="00441385" w:rsidP="00441385">
                            <w:pPr>
                              <w:rPr>
                                <w:rFonts w:asciiTheme="majorHAnsi" w:hAnsiTheme="majorHAnsi"/>
                              </w:rPr>
                            </w:pPr>
                          </w:p>
                          <w:p w:rsidR="00441385" w:rsidRDefault="00441385" w:rsidP="00441385">
                            <w:r w:rsidRPr="0038212D">
                              <w:rPr>
                                <w:rFonts w:asciiTheme="majorHAnsi" w:hAnsiTheme="majorHAnsi"/>
                              </w:rPr>
                              <w:t>Students must complete all major assessment components in each of their five courses and be passing all courses in order to request an exam exemption.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89F7AB" id="_x0000_t202" coordsize="21600,21600" o:spt="202" path="m,l,21600r21600,l21600,xe">
                <v:stroke joinstyle="miter"/>
                <v:path gradientshapeok="t" o:connecttype="rect"/>
              </v:shapetype>
              <v:shape id="Text Box 2" o:spid="_x0000_s1026" type="#_x0000_t202" style="position:absolute;margin-left:292pt;margin-top:20.4pt;width:185.9pt;height:268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FfRJA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">
                <v:textbox>
                  <w:txbxContent>
                    <w:p w:rsidR="00441385" w:rsidRPr="0038212D" w:rsidRDefault="00441385" w:rsidP="00441385">
                      <w:pPr>
                        <w:pStyle w:val="Heading1"/>
                        <w:rPr>
                          <w:rFonts w:asciiTheme="majorHAnsi" w:hAnsiTheme="majorHAnsi"/>
                        </w:rPr>
                      </w:pPr>
                      <w:r w:rsidRPr="0038212D">
                        <w:rPr>
                          <w:rFonts w:asciiTheme="majorHAnsi" w:hAnsiTheme="majorHAnsi"/>
                        </w:rPr>
                        <w:t>Late Assignments</w:t>
                      </w:r>
                    </w:p>
                    <w:p w:rsidR="00441385" w:rsidRPr="0038212D" w:rsidRDefault="00441385" w:rsidP="00441385">
                      <w:pPr>
                        <w:rPr>
                          <w:rFonts w:asciiTheme="majorHAnsi" w:hAnsiTheme="majorHAnsi"/>
                          <w:color w:val="44546A" w:themeColor="text2"/>
                        </w:rPr>
                      </w:pPr>
                    </w:p>
                    <w:p w:rsidR="00441385" w:rsidRPr="0038212D" w:rsidRDefault="00441385" w:rsidP="00441385">
                      <w:pPr>
                        <w:rPr>
                          <w:rFonts w:asciiTheme="majorHAnsi" w:hAnsiTheme="majorHAnsi"/>
                        </w:rPr>
                      </w:pPr>
                      <w:r w:rsidRPr="0038212D">
                        <w:rPr>
                          <w:rFonts w:asciiTheme="majorHAnsi" w:hAnsiTheme="majorHAnsi"/>
                        </w:rPr>
                        <w:t xml:space="preserve">Students cannot turn in assignments which are formative in nature once a summative assessment has been collected. Special circumstances must be discussed in person between the teacher and student. </w:t>
                      </w:r>
                    </w:p>
                    <w:p w:rsidR="00441385" w:rsidRPr="0038212D" w:rsidRDefault="00441385" w:rsidP="00441385">
                      <w:pPr>
                        <w:rPr>
                          <w:rFonts w:asciiTheme="majorHAnsi" w:hAnsiTheme="majorHAnsi"/>
                        </w:rPr>
                      </w:pPr>
                    </w:p>
                    <w:p w:rsidR="00441385" w:rsidRDefault="00441385" w:rsidP="00441385">
                      <w:r w:rsidRPr="0038212D">
                        <w:rPr>
                          <w:rFonts w:asciiTheme="majorHAnsi" w:hAnsiTheme="majorHAnsi"/>
                        </w:rPr>
                        <w:t>Students must complete all major assessment components in each of their five courses and be passing all courses in order to request an exam exemption.</w:t>
                      </w:r>
                    </w:p>
                  </w:txbxContent>
                </v:textbox>
                <w10:wrap type="square"/>
              </v:shape>
            </w:pict>
          </mc:Fallback>
        </mc:AlternateContent>
      </w:r>
    </w:p>
    <w:p w:rsidR="00441385" w:rsidRPr="0038212D" w:rsidRDefault="00441385" w:rsidP="00441385">
      <w:pPr>
        <w:pStyle w:val="Heading3"/>
      </w:pPr>
      <w:r w:rsidRPr="0038212D">
        <w:t>Course Description:</w:t>
      </w:r>
    </w:p>
    <w:p w:rsidR="00441385" w:rsidRDefault="00441385" w:rsidP="00441385">
      <w:pPr>
        <w:pStyle w:val="Heading3"/>
      </w:pPr>
      <w:r>
        <w:t xml:space="preserve">ENGLISH LANGUAGE ARTS 9 (180 hours) </w:t>
      </w:r>
      <w:r>
        <w:t xml:space="preserve">  </w:t>
      </w:r>
      <w:proofErr w:type="gramStart"/>
      <w:r w:rsidRPr="00441385">
        <w:rPr>
          <w:rFonts w:asciiTheme="minorHAnsi" w:hAnsiTheme="minorHAnsi"/>
          <w:b w:val="0"/>
          <w:sz w:val="22"/>
          <w:szCs w:val="22"/>
        </w:rPr>
        <w:t>The</w:t>
      </w:r>
      <w:proofErr w:type="gramEnd"/>
      <w:r w:rsidRPr="00441385">
        <w:rPr>
          <w:rFonts w:asciiTheme="minorHAnsi" w:hAnsiTheme="minorHAnsi"/>
          <w:b w:val="0"/>
          <w:sz w:val="22"/>
          <w:szCs w:val="22"/>
        </w:rPr>
        <w:t xml:space="preserve"> curriculum focus for this course is reading, writing, speaking, listening and thinking. Students develop their ability to write clear sentences, paragraphs, and essays and provide personal responses and analyses. Short stories, novels, poetry, and drama are the genres for achieving academic outcomes. Students are introduced to the world of Shakespeare. A provincial literacy assessment is written and is a graduation requirement</w:t>
      </w:r>
    </w:p>
    <w:p w:rsidR="00441385" w:rsidRPr="0038212D" w:rsidRDefault="00441385" w:rsidP="00441385">
      <w:pPr>
        <w:pStyle w:val="Heading3"/>
      </w:pPr>
      <w:r w:rsidRPr="0038212D">
        <w:t>Assessment Plan:</w:t>
      </w:r>
    </w:p>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Speaking &amp; Listening 20%</w:t>
      </w:r>
    </w:p>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Reading &amp; Responding 30%</w:t>
      </w:r>
    </w:p>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Writing and Representing 35%</w:t>
      </w:r>
    </w:p>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June Exam   15%</w:t>
      </w:r>
    </w:p>
    <w:p w:rsidR="00441385" w:rsidRPr="0038212D" w:rsidRDefault="00441385" w:rsidP="00441385"/>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***Formative Assessment is designed to provide direction for improvement and/or adjustment to a program for individual students or for a whole class, e.g. observation, quizzes, homework, instructional questions, initial drafts/attempts.</w:t>
      </w:r>
    </w:p>
    <w:p w:rsidR="00441385" w:rsidRPr="00441385" w:rsidRDefault="00441385" w:rsidP="00441385">
      <w:pPr>
        <w:spacing w:after="0" w:line="240" w:lineRule="auto"/>
        <w:rPr>
          <w:rFonts w:ascii="Segoe UI" w:eastAsia="Times New Roman" w:hAnsi="Segoe UI" w:cs="Segoe UI"/>
          <w:color w:val="000000"/>
          <w:sz w:val="27"/>
          <w:szCs w:val="27"/>
        </w:rPr>
      </w:pPr>
      <w:r w:rsidRPr="00441385">
        <w:rPr>
          <w:rFonts w:ascii="Calibri" w:eastAsia="Times New Roman" w:hAnsi="Calibri" w:cs="Segoe UI"/>
          <w:color w:val="000000"/>
        </w:rPr>
        <w:t>In order for students to develop to their potential they should be given opportunities to practice, receive feedback, correct, refine, and try again before they are evaluated and given a grade.***</w:t>
      </w:r>
    </w:p>
    <w:p w:rsidR="00441385" w:rsidRPr="00441385" w:rsidRDefault="00441385" w:rsidP="00441385">
      <w:pPr>
        <w:pStyle w:val="Heading3"/>
        <w:rPr>
          <w:b w:val="0"/>
        </w:rPr>
      </w:pPr>
      <w:r w:rsidRPr="00441385">
        <w:rPr>
          <w:rFonts w:ascii="Calibri" w:hAnsi="Calibri"/>
          <w:b w:val="0"/>
          <w:color w:val="000000"/>
          <w:sz w:val="22"/>
          <w:szCs w:val="22"/>
        </w:rPr>
        <w:t>***Summative Assessments are activities, assignments, presentations, projects, tests or exams used to judge a student’s standing at the end of a sequence of instruction; they should be done after students have had sufficient time as well as opportunity to practice with the material (content, thinking or psychomotor skills) and receive feedback from their peers or the instructor***</w:t>
      </w:r>
    </w:p>
    <w:p w:rsidR="00441385" w:rsidRDefault="00441385" w:rsidP="00441385">
      <w:pPr>
        <w:pStyle w:val="Heading3"/>
      </w:pPr>
      <w:r>
        <w:t>General Classroom Procedures:</w:t>
      </w:r>
    </w:p>
    <w:p w:rsidR="00CA5FA2" w:rsidRDefault="00CA5FA2" w:rsidP="00CA5FA2">
      <w:pPr>
        <w:pStyle w:val="ListParagraph"/>
        <w:numPr>
          <w:ilvl w:val="0"/>
          <w:numId w:val="4"/>
        </w:numPr>
        <w:spacing w:after="0" w:line="240" w:lineRule="auto"/>
      </w:pPr>
      <w:r>
        <w:t>Be on-time: for class, and for assignments.</w:t>
      </w:r>
    </w:p>
    <w:p w:rsidR="00CA5FA2" w:rsidRDefault="00CA5FA2" w:rsidP="00CA5FA2">
      <w:pPr>
        <w:pStyle w:val="ListParagraph"/>
        <w:numPr>
          <w:ilvl w:val="0"/>
          <w:numId w:val="4"/>
        </w:numPr>
        <w:spacing w:after="0" w:line="240" w:lineRule="auto"/>
      </w:pPr>
      <w:r>
        <w:t>Be polite to everyone.</w:t>
      </w:r>
    </w:p>
    <w:p w:rsidR="00DD6E6C" w:rsidRDefault="00CA5FA2" w:rsidP="00AA59A7">
      <w:pPr>
        <w:pStyle w:val="ListParagraph"/>
        <w:numPr>
          <w:ilvl w:val="0"/>
          <w:numId w:val="4"/>
        </w:numPr>
        <w:spacing w:after="0" w:line="240" w:lineRule="auto"/>
      </w:pPr>
      <w:r>
        <w:t>Keep the room clean.</w:t>
      </w:r>
    </w:p>
    <w:sectPr w:rsidR="00DD6E6C" w:rsidSect="00AA59A7">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45DC8"/>
    <w:multiLevelType w:val="hybridMultilevel"/>
    <w:tmpl w:val="7A2E9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501C"/>
    <w:multiLevelType w:val="hybridMultilevel"/>
    <w:tmpl w:val="7F86B274"/>
    <w:lvl w:ilvl="0" w:tplc="B5644FF2">
      <w:start w:val="1"/>
      <w:numFmt w:val="decimal"/>
      <w:lvlText w:val="%1)"/>
      <w:lvlJc w:val="left"/>
      <w:pPr>
        <w:ind w:left="1080" w:hanging="36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304F7074"/>
    <w:multiLevelType w:val="hybridMultilevel"/>
    <w:tmpl w:val="1F5AFF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F16C49"/>
    <w:multiLevelType w:val="hybridMultilevel"/>
    <w:tmpl w:val="9F343042"/>
    <w:lvl w:ilvl="0" w:tplc="E7229DD6">
      <w:start w:val="1"/>
      <w:numFmt w:val="upperLetter"/>
      <w:lvlText w:val="%1)"/>
      <w:lvlJc w:val="left"/>
      <w:pPr>
        <w:tabs>
          <w:tab w:val="num" w:pos="1830"/>
        </w:tabs>
        <w:ind w:left="1830" w:hanging="111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85"/>
    <w:rsid w:val="003D5F03"/>
    <w:rsid w:val="00441385"/>
    <w:rsid w:val="00AA59A7"/>
    <w:rsid w:val="00CA5FA2"/>
    <w:rsid w:val="00CB7DC3"/>
    <w:rsid w:val="00DD6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AA2B1-BCC3-4DE2-AC82-59BB28D5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4138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44138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1385"/>
    <w:rPr>
      <w:rFonts w:ascii="Arial" w:eastAsia="Times New Roman" w:hAnsi="Arial" w:cs="Arial"/>
      <w:b/>
      <w:bCs/>
      <w:kern w:val="32"/>
      <w:sz w:val="32"/>
      <w:szCs w:val="32"/>
    </w:rPr>
  </w:style>
  <w:style w:type="character" w:customStyle="1" w:styleId="Heading3Char">
    <w:name w:val="Heading 3 Char"/>
    <w:basedOn w:val="DefaultParagraphFont"/>
    <w:link w:val="Heading3"/>
    <w:rsid w:val="00441385"/>
    <w:rPr>
      <w:rFonts w:ascii="Arial" w:eastAsia="Times New Roman" w:hAnsi="Arial" w:cs="Arial"/>
      <w:b/>
      <w:bCs/>
      <w:sz w:val="26"/>
      <w:szCs w:val="26"/>
    </w:rPr>
  </w:style>
  <w:style w:type="character" w:styleId="Hyperlink">
    <w:name w:val="Hyperlink"/>
    <w:basedOn w:val="DefaultParagraphFont"/>
    <w:uiPriority w:val="99"/>
    <w:unhideWhenUsed/>
    <w:rsid w:val="00441385"/>
    <w:rPr>
      <w:color w:val="0563C1" w:themeColor="hyperlink"/>
      <w:u w:val="single"/>
    </w:rPr>
  </w:style>
  <w:style w:type="paragraph" w:styleId="ListParagraph">
    <w:name w:val="List Paragraph"/>
    <w:basedOn w:val="Normal"/>
    <w:uiPriority w:val="34"/>
    <w:qFormat/>
    <w:rsid w:val="00441385"/>
    <w:pPr>
      <w:ind w:left="720"/>
      <w:contextualSpacing/>
    </w:pPr>
  </w:style>
  <w:style w:type="table" w:styleId="TableGrid">
    <w:name w:val="Table Grid"/>
    <w:basedOn w:val="TableNormal"/>
    <w:uiPriority w:val="39"/>
    <w:rsid w:val="004413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85431">
      <w:bodyDiv w:val="1"/>
      <w:marLeft w:val="0"/>
      <w:marRight w:val="0"/>
      <w:marTop w:val="0"/>
      <w:marBottom w:val="0"/>
      <w:divBdr>
        <w:top w:val="none" w:sz="0" w:space="0" w:color="auto"/>
        <w:left w:val="none" w:sz="0" w:space="0" w:color="auto"/>
        <w:bottom w:val="none" w:sz="0" w:space="0" w:color="auto"/>
        <w:right w:val="none" w:sz="0" w:space="0" w:color="auto"/>
      </w:divBdr>
      <w:divsChild>
        <w:div w:id="1855919397">
          <w:marLeft w:val="0"/>
          <w:marRight w:val="0"/>
          <w:marTop w:val="0"/>
          <w:marBottom w:val="0"/>
          <w:divBdr>
            <w:top w:val="none" w:sz="0" w:space="0" w:color="auto"/>
            <w:left w:val="none" w:sz="0" w:space="0" w:color="auto"/>
            <w:bottom w:val="none" w:sz="0" w:space="0" w:color="auto"/>
            <w:right w:val="none" w:sz="0" w:space="0" w:color="auto"/>
          </w:divBdr>
        </w:div>
        <w:div w:id="1084572237">
          <w:marLeft w:val="0"/>
          <w:marRight w:val="0"/>
          <w:marTop w:val="0"/>
          <w:marBottom w:val="0"/>
          <w:divBdr>
            <w:top w:val="none" w:sz="0" w:space="0" w:color="auto"/>
            <w:left w:val="none" w:sz="0" w:space="0" w:color="auto"/>
            <w:bottom w:val="none" w:sz="0" w:space="0" w:color="auto"/>
            <w:right w:val="none" w:sz="0" w:space="0" w:color="auto"/>
          </w:divBdr>
        </w:div>
      </w:divsChild>
    </w:div>
    <w:div w:id="860317205">
      <w:bodyDiv w:val="1"/>
      <w:marLeft w:val="0"/>
      <w:marRight w:val="0"/>
      <w:marTop w:val="0"/>
      <w:marBottom w:val="0"/>
      <w:divBdr>
        <w:top w:val="none" w:sz="0" w:space="0" w:color="auto"/>
        <w:left w:val="none" w:sz="0" w:space="0" w:color="auto"/>
        <w:bottom w:val="none" w:sz="0" w:space="0" w:color="auto"/>
        <w:right w:val="none" w:sz="0" w:space="0" w:color="auto"/>
      </w:divBdr>
      <w:divsChild>
        <w:div w:id="1034158483">
          <w:marLeft w:val="0"/>
          <w:marRight w:val="0"/>
          <w:marTop w:val="0"/>
          <w:marBottom w:val="0"/>
          <w:divBdr>
            <w:top w:val="none" w:sz="0" w:space="0" w:color="auto"/>
            <w:left w:val="none" w:sz="0" w:space="0" w:color="auto"/>
            <w:bottom w:val="none" w:sz="0" w:space="0" w:color="auto"/>
            <w:right w:val="none" w:sz="0" w:space="0" w:color="auto"/>
          </w:divBdr>
        </w:div>
        <w:div w:id="1701972368">
          <w:marLeft w:val="0"/>
          <w:marRight w:val="0"/>
          <w:marTop w:val="0"/>
          <w:marBottom w:val="0"/>
          <w:divBdr>
            <w:top w:val="none" w:sz="0" w:space="0" w:color="auto"/>
            <w:left w:val="none" w:sz="0" w:space="0" w:color="auto"/>
            <w:bottom w:val="none" w:sz="0" w:space="0" w:color="auto"/>
            <w:right w:val="none" w:sz="0" w:space="0" w:color="auto"/>
          </w:divBdr>
        </w:div>
        <w:div w:id="1379865430">
          <w:marLeft w:val="0"/>
          <w:marRight w:val="0"/>
          <w:marTop w:val="0"/>
          <w:marBottom w:val="0"/>
          <w:divBdr>
            <w:top w:val="none" w:sz="0" w:space="0" w:color="auto"/>
            <w:left w:val="none" w:sz="0" w:space="0" w:color="auto"/>
            <w:bottom w:val="none" w:sz="0" w:space="0" w:color="auto"/>
            <w:right w:val="none" w:sz="0" w:space="0" w:color="auto"/>
          </w:divBdr>
        </w:div>
        <w:div w:id="1663046408">
          <w:marLeft w:val="0"/>
          <w:marRight w:val="0"/>
          <w:marTop w:val="0"/>
          <w:marBottom w:val="0"/>
          <w:divBdr>
            <w:top w:val="none" w:sz="0" w:space="0" w:color="auto"/>
            <w:left w:val="none" w:sz="0" w:space="0" w:color="auto"/>
            <w:bottom w:val="none" w:sz="0" w:space="0" w:color="auto"/>
            <w:right w:val="none" w:sz="0" w:space="0" w:color="auto"/>
          </w:divBdr>
        </w:div>
        <w:div w:id="978413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hyperlink" Target="http://jstandring.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4F42EED-C7B3-4563-A055-07343BE4E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5</cp:revision>
  <dcterms:created xsi:type="dcterms:W3CDTF">2017-08-29T14:36:00Z</dcterms:created>
  <dcterms:modified xsi:type="dcterms:W3CDTF">2017-08-29T18:30:00Z</dcterms:modified>
</cp:coreProperties>
</file>