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E3" w:rsidRDefault="00B61728">
      <w:pPr>
        <w:spacing w:after="0"/>
      </w:pPr>
      <w:r>
        <w:rPr>
          <w:rFonts w:ascii="Arial" w:eastAsia="Arial" w:hAnsi="Arial" w:cs="Arial"/>
          <w:b/>
          <w:sz w:val="40"/>
        </w:rPr>
        <w:t>Personal Artifact</w:t>
      </w:r>
      <w:r>
        <w:rPr>
          <w:rFonts w:ascii="Arial" w:eastAsia="Arial" w:hAnsi="Arial" w:cs="Arial"/>
          <w:b/>
          <w:sz w:val="40"/>
        </w:rPr>
        <w:t xml:space="preserve"> Assignment Rubric </w:t>
      </w:r>
    </w:p>
    <w:p w:rsidR="001B7BE3" w:rsidRDefault="00B61728">
      <w:pPr>
        <w:spacing w:after="170"/>
        <w:ind w:left="-29" w:right="-530"/>
      </w:pPr>
      <w:r>
        <w:rPr>
          <w:noProof/>
        </w:rPr>
        <mc:AlternateContent>
          <mc:Choice Requires="wpg">
            <w:drawing>
              <wp:inline distT="0" distB="0" distL="0" distR="0">
                <wp:extent cx="8266176" cy="6096"/>
                <wp:effectExtent l="0" t="0" r="0" b="0"/>
                <wp:docPr id="1388" name="Group 1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66176" cy="6096"/>
                          <a:chOff x="0" y="0"/>
                          <a:chExt cx="8266176" cy="6096"/>
                        </a:xfrm>
                      </wpg:grpSpPr>
                      <wps:wsp>
                        <wps:cNvPr id="1509" name="Shape 1509"/>
                        <wps:cNvSpPr/>
                        <wps:spPr>
                          <a:xfrm>
                            <a:off x="0" y="0"/>
                            <a:ext cx="8266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6176" h="9144">
                                <a:moveTo>
                                  <a:pt x="0" y="0"/>
                                </a:moveTo>
                                <a:lnTo>
                                  <a:pt x="8266176" y="0"/>
                                </a:lnTo>
                                <a:lnTo>
                                  <a:pt x="8266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0E2640" id="Group 1388" o:spid="_x0000_s1026" style="width:650.9pt;height:.5pt;mso-position-horizontal-relative:char;mso-position-vertical-relative:line" coordsize="8266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">
                <v:shape id="Shape 1509" o:spid="_x0000_s1027" style="position:absolute;width:82661;height:91;visibility:visible;mso-wrap-style:square;v-text-anchor:top" coordsize="82661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r8w8UA&#10;AADdAAAADwAAAGRycy9kb3ducmV2LnhtbERPTWvCQBC9F/wPywje6kbFotFViqL2Vqq26G3Ijkls&#10;djZmtyb667uFgrd5vM+ZzhtTiCtVLresoNeNQBAnVuecKtjvVs8jEM4jaywsk4IbOZjPWk9TjLWt&#10;+YOuW5+KEMIuRgWZ92UspUsyMui6tiQO3MlWBn2AVSp1hXUIN4XsR9GLNJhzaMiwpEVGyff2xyg4&#10;1APeLZeXzfvxlgyKc/PVv3+uleq0m9cJCE+Nf4j/3W86zB9GY/j7Jpw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GvzDxQAAAN0AAAAPAAAAAAAAAAAAAAAAAJgCAABkcnMv&#10;ZG93bnJldi54bWxQSwUGAAAAAAQABAD1AAAAigMAAAAA&#10;" path="m,l8266176,r,9144l,9144,,e" fillcolor="black" stroked="f" strokeweight="0">
                  <v:stroke miterlimit="83231f" joinstyle="miter"/>
                  <v:path arrowok="t" textboxrect="0,0,8266176,9144"/>
                </v:shape>
                <w10:anchorlock/>
              </v:group>
            </w:pict>
          </mc:Fallback>
        </mc:AlternateContent>
      </w:r>
    </w:p>
    <w:p w:rsidR="001B7BE3" w:rsidRDefault="00B61728">
      <w:pPr>
        <w:pStyle w:val="Heading1"/>
        <w:spacing w:after="150"/>
        <w:ind w:left="-5"/>
      </w:pPr>
      <w:r>
        <w:t>Expectations</w:t>
      </w:r>
      <w:r>
        <w:rPr>
          <w:b w:val="0"/>
        </w:rPr>
        <w:t xml:space="preserve"> </w:t>
      </w:r>
    </w:p>
    <w:p w:rsidR="001B7BE3" w:rsidRDefault="00B61728">
      <w:pPr>
        <w:numPr>
          <w:ilvl w:val="0"/>
          <w:numId w:val="1"/>
        </w:numPr>
        <w:spacing w:after="21" w:line="268" w:lineRule="auto"/>
        <w:ind w:hanging="360"/>
      </w:pPr>
      <w:r>
        <w:rPr>
          <w:rFonts w:ascii="Arial" w:eastAsia="Arial" w:hAnsi="Arial" w:cs="Arial"/>
        </w:rPr>
        <w:t xml:space="preserve">Students will choose 5 artifacts from modern life, </w:t>
      </w:r>
      <w:proofErr w:type="spellStart"/>
      <w:r>
        <w:rPr>
          <w:rFonts w:ascii="Arial" w:eastAsia="Arial" w:hAnsi="Arial" w:cs="Arial"/>
        </w:rPr>
        <w:t>analyse</w:t>
      </w:r>
      <w:proofErr w:type="spellEnd"/>
      <w:r>
        <w:rPr>
          <w:rFonts w:ascii="Arial" w:eastAsia="Arial" w:hAnsi="Arial" w:cs="Arial"/>
        </w:rPr>
        <w:t xml:space="preserve"> them</w:t>
      </w:r>
      <w:r>
        <w:rPr>
          <w:rFonts w:ascii="Arial" w:eastAsia="Arial" w:hAnsi="Arial" w:cs="Arial"/>
        </w:rPr>
        <w:t xml:space="preserve"> using the concepts discussed in class regarding anthropology, and </w:t>
      </w:r>
      <w:proofErr w:type="gramStart"/>
      <w:r>
        <w:rPr>
          <w:rFonts w:ascii="Arial" w:eastAsia="Arial" w:hAnsi="Arial" w:cs="Arial"/>
        </w:rPr>
        <w:t>culture.,</w:t>
      </w:r>
      <w:proofErr w:type="gramEnd"/>
      <w:r>
        <w:rPr>
          <w:rFonts w:ascii="Arial" w:eastAsia="Arial" w:hAnsi="Arial" w:cs="Arial"/>
        </w:rPr>
        <w:t xml:space="preserve"> Students explain, by answer three questions, the significance of the artifacts and what they tell us about the culture of the civilization</w:t>
      </w:r>
      <w:r>
        <w:rPr>
          <w:rFonts w:ascii="Arial" w:eastAsia="Arial" w:hAnsi="Arial" w:cs="Arial"/>
        </w:rPr>
        <w:t xml:space="preserve">. </w:t>
      </w:r>
    </w:p>
    <w:p w:rsidR="001B7BE3" w:rsidRDefault="00B61728">
      <w:pPr>
        <w:numPr>
          <w:ilvl w:val="0"/>
          <w:numId w:val="1"/>
        </w:numPr>
        <w:spacing w:after="258" w:line="268" w:lineRule="auto"/>
        <w:ind w:hanging="360"/>
      </w:pPr>
      <w:r>
        <w:rPr>
          <w:rFonts w:ascii="Arial" w:eastAsia="Arial" w:hAnsi="Arial" w:cs="Arial"/>
        </w:rPr>
        <w:t xml:space="preserve">Students will clearly communicate their ideas and opinions.  </w:t>
      </w:r>
    </w:p>
    <w:p w:rsidR="001B7BE3" w:rsidRDefault="00B61728">
      <w:pPr>
        <w:pStyle w:val="Heading1"/>
        <w:ind w:left="-5"/>
      </w:pPr>
      <w:r>
        <w:t xml:space="preserve">Criteria </w:t>
      </w:r>
    </w:p>
    <w:tbl>
      <w:tblPr>
        <w:tblStyle w:val="TableGrid"/>
        <w:tblW w:w="12640" w:type="dxa"/>
        <w:tblInd w:w="427" w:type="dxa"/>
        <w:tblCellMar>
          <w:top w:w="95" w:type="dxa"/>
          <w:left w:w="106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2836"/>
        <w:gridCol w:w="4902"/>
        <w:gridCol w:w="4902"/>
      </w:tblGrid>
      <w:tr w:rsidR="001B7BE3">
        <w:trPr>
          <w:trHeight w:val="617"/>
        </w:trPr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7BE3" w:rsidRDefault="00B61728">
            <w:pPr>
              <w:spacing w:after="0"/>
            </w:pPr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1B7BE3" w:rsidRDefault="00B61728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>Meets Expectations</w:t>
            </w:r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  <w:vAlign w:val="center"/>
          </w:tcPr>
          <w:p w:rsidR="001B7BE3" w:rsidRDefault="00B6172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Exceeds Expectations  </w:t>
            </w:r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</w:tr>
      <w:tr w:rsidR="001B7BE3" w:rsidTr="00B61728">
        <w:trPr>
          <w:trHeight w:val="270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:rsidR="001B7BE3" w:rsidRDefault="00B61728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Knowledge/Understanding </w:t>
            </w:r>
          </w:p>
          <w:p w:rsidR="001B7BE3" w:rsidRDefault="00B61728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of Historical Significance Concept</w:t>
            </w:r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EAF1DD"/>
            <w:vAlign w:val="center"/>
          </w:tcPr>
          <w:p w:rsidR="001B7BE3" w:rsidRDefault="00B61728">
            <w:pPr>
              <w:spacing w:after="135" w:line="241" w:lineRule="auto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Student work clearly expresses the significance of 5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artifcacts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by including answers to most of the questions</w:t>
            </w:r>
            <w:r>
              <w:rPr>
                <w:rFonts w:ascii="Arial" w:eastAsia="Arial" w:hAnsi="Arial" w:cs="Arial"/>
                <w:sz w:val="20"/>
              </w:rPr>
              <w:t xml:space="preserve">: </w:t>
            </w:r>
          </w:p>
          <w:p w:rsidR="00B61728" w:rsidRPr="00B61728" w:rsidRDefault="00B61728" w:rsidP="00B6172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B61728">
              <w:rPr>
                <w:sz w:val="20"/>
                <w:szCs w:val="20"/>
                <w:highlight w:val="yellow"/>
              </w:rPr>
              <w:t xml:space="preserve">What does my “artifact” say about </w:t>
            </w:r>
            <w:r w:rsidRPr="00B61728">
              <w:rPr>
                <w:sz w:val="20"/>
                <w:szCs w:val="20"/>
                <w:highlight w:val="yellow"/>
                <w:u w:val="single"/>
              </w:rPr>
              <w:t>what people were like in our time?</w:t>
            </w:r>
          </w:p>
          <w:p w:rsidR="00B61728" w:rsidRPr="00B61728" w:rsidRDefault="00B61728" w:rsidP="00B6172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B61728">
              <w:rPr>
                <w:sz w:val="20"/>
                <w:szCs w:val="20"/>
                <w:highlight w:val="yellow"/>
              </w:rPr>
              <w:t>What does my “artifact” say about how our</w:t>
            </w:r>
            <w:r w:rsidRPr="00B61728">
              <w:rPr>
                <w:sz w:val="20"/>
                <w:szCs w:val="20"/>
                <w:highlight w:val="yellow"/>
                <w:u w:val="single"/>
              </w:rPr>
              <w:t xml:space="preserve"> people spent their time</w:t>
            </w:r>
            <w:r w:rsidRPr="00B61728">
              <w:rPr>
                <w:sz w:val="20"/>
                <w:szCs w:val="20"/>
                <w:highlight w:val="yellow"/>
              </w:rPr>
              <w:t>?</w:t>
            </w:r>
          </w:p>
          <w:p w:rsidR="001B7BE3" w:rsidRPr="00B61728" w:rsidRDefault="00B61728" w:rsidP="00B6172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61728">
              <w:rPr>
                <w:sz w:val="20"/>
                <w:szCs w:val="20"/>
                <w:highlight w:val="yellow"/>
              </w:rPr>
              <w:t xml:space="preserve">What does my “artifact” say about the available </w:t>
            </w:r>
            <w:r w:rsidRPr="00B61728">
              <w:rPr>
                <w:sz w:val="20"/>
                <w:szCs w:val="20"/>
                <w:highlight w:val="yellow"/>
                <w:u w:val="single"/>
              </w:rPr>
              <w:t>technology</w:t>
            </w:r>
            <w:r w:rsidRPr="00B61728">
              <w:rPr>
                <w:sz w:val="20"/>
                <w:szCs w:val="20"/>
                <w:highlight w:val="yellow"/>
              </w:rPr>
              <w:t xml:space="preserve"> of the time?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C2D59B"/>
            <w:vAlign w:val="center"/>
          </w:tcPr>
          <w:p w:rsidR="001B7BE3" w:rsidRDefault="00B61728">
            <w:pPr>
              <w:spacing w:after="108" w:line="254" w:lineRule="auto"/>
              <w:ind w:left="2"/>
            </w:pPr>
            <w:r>
              <w:rPr>
                <w:rFonts w:ascii="Arial" w:eastAsia="Arial" w:hAnsi="Arial" w:cs="Arial"/>
                <w:sz w:val="20"/>
              </w:rPr>
              <w:t>S</w:t>
            </w:r>
            <w:r>
              <w:rPr>
                <w:rFonts w:ascii="Arial" w:eastAsia="Arial" w:hAnsi="Arial" w:cs="Arial"/>
                <w:sz w:val="20"/>
              </w:rPr>
              <w:t xml:space="preserve">tudent work meets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all </w:t>
            </w:r>
            <w:r>
              <w:rPr>
                <w:rFonts w:ascii="Arial" w:eastAsia="Arial" w:hAnsi="Arial" w:cs="Arial"/>
                <w:sz w:val="20"/>
              </w:rPr>
              <w:t xml:space="preserve">of the requirements of the competent strand, for all artifacts (5) and all questions (3) </w:t>
            </w:r>
            <w:bookmarkStart w:id="0" w:name="_GoBack"/>
            <w:bookmarkEnd w:id="0"/>
          </w:p>
          <w:p w:rsidR="001B7BE3" w:rsidRDefault="00B6172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Student provides evidence with numerous examples for each of the criteria, which clearly establish the significance of the event.</w:t>
            </w:r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</w:tr>
      <w:tr w:rsidR="001B7BE3">
        <w:trPr>
          <w:trHeight w:val="433"/>
        </w:trPr>
        <w:tc>
          <w:tcPr>
            <w:tcW w:w="283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E3" w:rsidRDefault="00B6172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75 points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490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1B7BE3" w:rsidRDefault="00B61728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  <w:r>
              <w:rPr>
                <w:rFonts w:ascii="Arial" w:eastAsia="Arial" w:hAnsi="Arial" w:cs="Arial"/>
                <w:sz w:val="16"/>
              </w:rPr>
              <w:t>5-67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490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  <w:vAlign w:val="center"/>
          </w:tcPr>
          <w:p w:rsidR="001B7BE3" w:rsidRDefault="00B61728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>68-75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1B7BE3">
        <w:trPr>
          <w:trHeight w:val="164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:rsidR="001B7BE3" w:rsidRDefault="00B61728">
            <w:pPr>
              <w:spacing w:after="223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Communication </w:t>
            </w:r>
          </w:p>
          <w:p w:rsidR="001B7BE3" w:rsidRDefault="00B6172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(Writing and style)</w:t>
            </w:r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EAF1DD"/>
            <w:vAlign w:val="center"/>
          </w:tcPr>
          <w:p w:rsidR="001B7BE3" w:rsidRDefault="00B61728">
            <w:pPr>
              <w:spacing w:after="122" w:line="239" w:lineRule="auto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Student work communicates ideas with accuracy; written sections are comprehensible. </w:t>
            </w:r>
          </w:p>
          <w:p w:rsidR="001B7BE3" w:rsidRDefault="00B61728">
            <w:pPr>
              <w:spacing w:after="225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Word choice is appropriate for the content. </w:t>
            </w:r>
          </w:p>
          <w:p w:rsidR="001B7BE3" w:rsidRDefault="00B61728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>Writing voice makes connections with the reader.</w:t>
            </w:r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C2D59B"/>
          </w:tcPr>
          <w:p w:rsidR="001B7BE3" w:rsidRDefault="00B61728">
            <w:pPr>
              <w:spacing w:after="122" w:line="239" w:lineRule="auto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Student work is accurate, articulate and engaging for the reader. </w:t>
            </w:r>
          </w:p>
          <w:p w:rsidR="001B7BE3" w:rsidRDefault="00B61728">
            <w:pPr>
              <w:spacing w:after="0"/>
              <w:ind w:left="2" w:right="565"/>
            </w:pPr>
            <w:r>
              <w:rPr>
                <w:rFonts w:ascii="Arial" w:eastAsia="Arial" w:hAnsi="Arial" w:cs="Arial"/>
                <w:sz w:val="20"/>
              </w:rPr>
              <w:t>Powerful word choice supports content. Writing voice evokes strong emotion within the reader.</w:t>
            </w:r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</w:tr>
      <w:tr w:rsidR="001B7BE3">
        <w:trPr>
          <w:trHeight w:val="433"/>
        </w:trPr>
        <w:tc>
          <w:tcPr>
            <w:tcW w:w="283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E3" w:rsidRDefault="00B6172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25 points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490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1B7BE3" w:rsidRDefault="00B61728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6"/>
              </w:rPr>
              <w:t>15-22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490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  <w:vAlign w:val="center"/>
          </w:tcPr>
          <w:p w:rsidR="001B7BE3" w:rsidRDefault="00B61728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>23-25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</w:tbl>
    <w:p w:rsidR="001B7BE3" w:rsidRDefault="00B61728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sectPr w:rsidR="001B7BE3" w:rsidSect="00B61728">
      <w:pgSz w:w="15840" w:h="12240" w:orient="landscape"/>
      <w:pgMar w:top="720" w:right="194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55F61"/>
    <w:multiLevelType w:val="hybridMultilevel"/>
    <w:tmpl w:val="EF227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961E7"/>
    <w:multiLevelType w:val="hybridMultilevel"/>
    <w:tmpl w:val="728A8A42"/>
    <w:lvl w:ilvl="0" w:tplc="A2D0A39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CE219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9079E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5461F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48082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0C2A4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CB3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C6344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C6FA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2276122"/>
    <w:multiLevelType w:val="hybridMultilevel"/>
    <w:tmpl w:val="54BE8F78"/>
    <w:lvl w:ilvl="0" w:tplc="8F54F544">
      <w:start w:val="1"/>
      <w:numFmt w:val="bullet"/>
      <w:lvlText w:val="•"/>
      <w:lvlJc w:val="left"/>
      <w:pPr>
        <w:ind w:left="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FA2384">
      <w:start w:val="1"/>
      <w:numFmt w:val="bullet"/>
      <w:lvlText w:val="o"/>
      <w:lvlJc w:val="left"/>
      <w:pPr>
        <w:ind w:left="1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8CF504">
      <w:start w:val="1"/>
      <w:numFmt w:val="bullet"/>
      <w:lvlText w:val="▪"/>
      <w:lvlJc w:val="left"/>
      <w:pPr>
        <w:ind w:left="2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4069F6">
      <w:start w:val="1"/>
      <w:numFmt w:val="bullet"/>
      <w:lvlText w:val="•"/>
      <w:lvlJc w:val="left"/>
      <w:pPr>
        <w:ind w:left="2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26B208">
      <w:start w:val="1"/>
      <w:numFmt w:val="bullet"/>
      <w:lvlText w:val="o"/>
      <w:lvlJc w:val="left"/>
      <w:pPr>
        <w:ind w:left="3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CCAB4E">
      <w:start w:val="1"/>
      <w:numFmt w:val="bullet"/>
      <w:lvlText w:val="▪"/>
      <w:lvlJc w:val="left"/>
      <w:pPr>
        <w:ind w:left="4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E83FC8">
      <w:start w:val="1"/>
      <w:numFmt w:val="bullet"/>
      <w:lvlText w:val="•"/>
      <w:lvlJc w:val="left"/>
      <w:pPr>
        <w:ind w:left="4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3A9E4C">
      <w:start w:val="1"/>
      <w:numFmt w:val="bullet"/>
      <w:lvlText w:val="o"/>
      <w:lvlJc w:val="left"/>
      <w:pPr>
        <w:ind w:left="56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708EDA">
      <w:start w:val="1"/>
      <w:numFmt w:val="bullet"/>
      <w:lvlText w:val="▪"/>
      <w:lvlJc w:val="left"/>
      <w:pPr>
        <w:ind w:left="6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E3"/>
    <w:rsid w:val="001B7BE3"/>
    <w:rsid w:val="00B6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72FB59-4DFC-47C2-8F56-1361380D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61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Ruth.Wilson</dc:creator>
  <cp:keywords/>
  <cp:lastModifiedBy>Standring, Jonathan (ASD-S)</cp:lastModifiedBy>
  <cp:revision>2</cp:revision>
  <dcterms:created xsi:type="dcterms:W3CDTF">2017-09-06T18:26:00Z</dcterms:created>
  <dcterms:modified xsi:type="dcterms:W3CDTF">2017-09-06T18:26:00Z</dcterms:modified>
</cp:coreProperties>
</file>